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8DFD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16DEEFA3" w14:textId="6C95A51E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5A0E1A5F" w14:textId="43EC5115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FDDF1E" wp14:editId="12AD6C0A">
            <wp:simplePos x="0" y="0"/>
            <wp:positionH relativeFrom="page">
              <wp:posOffset>2219325</wp:posOffset>
            </wp:positionH>
            <wp:positionV relativeFrom="paragraph">
              <wp:posOffset>67945</wp:posOffset>
            </wp:positionV>
            <wp:extent cx="2947143" cy="3000375"/>
            <wp:effectExtent l="0" t="0" r="5715" b="0"/>
            <wp:wrapNone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43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AFAE9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6621CBA9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3F9E56B4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659A8B80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4BEB5A61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08916AB3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01A5D05A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398BCB48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4EDBB3F4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7CD42916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13EDE1D9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18510304" w14:textId="77777777" w:rsidR="009C2FB2" w:rsidRPr="009C2FB2" w:rsidRDefault="009C2FB2" w:rsidP="009267A1">
      <w:pPr>
        <w:shd w:val="clear" w:color="auto" w:fill="FFFFFF"/>
        <w:spacing w:after="120" w:line="336" w:lineRule="atLeast"/>
        <w:jc w:val="center"/>
        <w:outlineLvl w:val="1"/>
        <w:rPr>
          <w:rFonts w:ascii="Calibri" w:eastAsia="Times New Roman" w:hAnsi="Calibri" w:cs="Arial"/>
          <w:bCs/>
          <w:sz w:val="72"/>
          <w:szCs w:val="72"/>
          <w:lang w:eastAsia="en-GB"/>
        </w:rPr>
      </w:pPr>
    </w:p>
    <w:p w14:paraId="6F0F84D5" w14:textId="5495F7D2" w:rsidR="00BB5F09" w:rsidRPr="00091DDB" w:rsidRDefault="00BB5F09" w:rsidP="009267A1">
      <w:pPr>
        <w:shd w:val="clear" w:color="auto" w:fill="FFFFFF"/>
        <w:spacing w:after="120" w:line="336" w:lineRule="atLeast"/>
        <w:jc w:val="center"/>
        <w:outlineLvl w:val="1"/>
        <w:rPr>
          <w:rFonts w:ascii="Calibri" w:eastAsia="Times New Roman" w:hAnsi="Calibri" w:cs="Arial"/>
          <w:b/>
          <w:bCs/>
          <w:sz w:val="72"/>
          <w:szCs w:val="72"/>
          <w:lang w:eastAsia="en-GB"/>
        </w:rPr>
      </w:pPr>
      <w:r w:rsidRPr="00091DDB">
        <w:rPr>
          <w:rFonts w:ascii="Calibri" w:eastAsia="Times New Roman" w:hAnsi="Calibri" w:cs="Arial"/>
          <w:b/>
          <w:bCs/>
          <w:sz w:val="72"/>
          <w:szCs w:val="72"/>
          <w:lang w:eastAsia="en-GB"/>
        </w:rPr>
        <w:t>FOR CHILDREN WITH ENGLISH AS AN ADDITIONAL LANGUAGE</w:t>
      </w:r>
    </w:p>
    <w:p w14:paraId="0F42F166" w14:textId="76ED6E1E" w:rsidR="009C2FB2" w:rsidRPr="009C2FB2" w:rsidRDefault="009C2FB2" w:rsidP="009267A1">
      <w:pPr>
        <w:shd w:val="clear" w:color="auto" w:fill="FFFFFF"/>
        <w:spacing w:after="120" w:line="336" w:lineRule="atLeast"/>
        <w:jc w:val="center"/>
        <w:outlineLvl w:val="1"/>
        <w:rPr>
          <w:rFonts w:ascii="Calibri" w:eastAsia="Times New Roman" w:hAnsi="Calibri" w:cs="Arial"/>
          <w:bCs/>
          <w:sz w:val="72"/>
          <w:szCs w:val="72"/>
          <w:lang w:eastAsia="en-GB"/>
        </w:rPr>
      </w:pPr>
      <w:bookmarkStart w:id="0" w:name="_GoBack"/>
      <w:bookmarkEnd w:id="0"/>
    </w:p>
    <w:p w14:paraId="0DA6618C" w14:textId="77777777" w:rsidR="009C2FB2" w:rsidRPr="009C2FB2" w:rsidRDefault="009C2FB2" w:rsidP="009267A1">
      <w:pPr>
        <w:shd w:val="clear" w:color="auto" w:fill="FFFFFF"/>
        <w:spacing w:after="120" w:line="336" w:lineRule="atLeast"/>
        <w:jc w:val="center"/>
        <w:outlineLvl w:val="1"/>
        <w:rPr>
          <w:rFonts w:ascii="Calibri" w:eastAsia="Times New Roman" w:hAnsi="Calibri" w:cs="Arial"/>
          <w:bCs/>
          <w:sz w:val="72"/>
          <w:szCs w:val="72"/>
          <w:lang w:eastAsia="en-GB"/>
        </w:rPr>
      </w:pPr>
    </w:p>
    <w:p w14:paraId="50FF45C9" w14:textId="7582E5AB" w:rsidR="009C2FB2" w:rsidRPr="00CF573A" w:rsidRDefault="009C2FB2" w:rsidP="009267A1">
      <w:pPr>
        <w:shd w:val="clear" w:color="auto" w:fill="FFFFFF"/>
        <w:spacing w:after="120" w:line="336" w:lineRule="atLeast"/>
        <w:jc w:val="center"/>
        <w:outlineLvl w:val="1"/>
        <w:rPr>
          <w:rFonts w:ascii="Calibri" w:eastAsia="Times New Roman" w:hAnsi="Calibri" w:cs="Arial"/>
          <w:b/>
          <w:sz w:val="36"/>
          <w:szCs w:val="36"/>
          <w:lang w:eastAsia="en-GB"/>
        </w:rPr>
      </w:pPr>
      <w:r w:rsidRPr="00CF573A">
        <w:rPr>
          <w:rFonts w:ascii="Calibri" w:eastAsia="Times New Roman" w:hAnsi="Calibri" w:cs="Arial"/>
          <w:b/>
          <w:sz w:val="36"/>
          <w:szCs w:val="36"/>
          <w:lang w:eastAsia="en-GB"/>
        </w:rPr>
        <w:t>January 2019</w:t>
      </w:r>
    </w:p>
    <w:p w14:paraId="4167DCE2" w14:textId="77777777" w:rsidR="008B0E20" w:rsidRPr="009C2FB2" w:rsidRDefault="008B0E20" w:rsidP="008B0E20">
      <w:pPr>
        <w:shd w:val="clear" w:color="auto" w:fill="FFFFFF"/>
        <w:spacing w:after="240" w:line="240" w:lineRule="auto"/>
        <w:contextualSpacing/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</w:pPr>
    </w:p>
    <w:p w14:paraId="4891AD88" w14:textId="6216E3F7" w:rsidR="00B17DD7" w:rsidRPr="009C2FB2" w:rsidRDefault="009C2FB2" w:rsidP="009C2FB2">
      <w:pPr>
        <w:rPr>
          <w:rFonts w:ascii="Calibri" w:eastAsia="Times New Roman" w:hAnsi="Calibri" w:cs="Arial"/>
          <w:color w:val="333333"/>
          <w:sz w:val="32"/>
          <w:szCs w:val="32"/>
          <w:u w:val="single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br w:type="page"/>
      </w:r>
      <w:r w:rsidR="00B17DD7"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lastRenderedPageBreak/>
        <w:t>Purposes</w:t>
      </w:r>
    </w:p>
    <w:p w14:paraId="7F3B2419" w14:textId="77777777" w:rsidR="00B17DD7" w:rsidRPr="009C2FB2" w:rsidRDefault="00B17DD7" w:rsidP="009267A1">
      <w:pPr>
        <w:pStyle w:val="ListParagraph"/>
        <w:numPr>
          <w:ilvl w:val="0"/>
          <w:numId w:val="7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promote equality of opportunity for all learners for whom English is an additional language.</w:t>
      </w:r>
    </w:p>
    <w:p w14:paraId="1AE4D144" w14:textId="77777777" w:rsidR="009267A1" w:rsidRPr="009C2FB2" w:rsidRDefault="009267A1" w:rsidP="009267A1">
      <w:pPr>
        <w:pStyle w:val="ListParagraph"/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573CCCAF" w14:textId="77777777" w:rsidR="00B17DD7" w:rsidRPr="009C2FB2" w:rsidRDefault="00B17DD7" w:rsidP="008B0E20">
      <w:pPr>
        <w:pStyle w:val="ListParagraph"/>
        <w:numPr>
          <w:ilvl w:val="0"/>
          <w:numId w:val="4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deliver a broad, balanced curriculum which reflects the needs of children for whom English is an additional language.</w:t>
      </w:r>
    </w:p>
    <w:p w14:paraId="52852B24" w14:textId="77777777" w:rsidR="008B0E20" w:rsidRPr="009C2FB2" w:rsidRDefault="008B0E20" w:rsidP="008B0E2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33333"/>
          <w:sz w:val="28"/>
          <w:szCs w:val="28"/>
          <w:u w:val="single"/>
          <w:lang w:eastAsia="en-GB"/>
        </w:rPr>
      </w:pPr>
    </w:p>
    <w:p w14:paraId="58D07555" w14:textId="77777777" w:rsidR="008B0E20" w:rsidRPr="009C2FB2" w:rsidRDefault="008B0E20" w:rsidP="008B0E2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t>Guidelines</w:t>
      </w:r>
    </w:p>
    <w:p w14:paraId="44B51D7F" w14:textId="77777777" w:rsidR="009C2FB2" w:rsidRDefault="009C2FB2" w:rsidP="009C2FB2">
      <w:pPr>
        <w:shd w:val="clear" w:color="auto" w:fill="FFFFFF"/>
        <w:spacing w:before="103" w:after="103" w:line="240" w:lineRule="auto"/>
        <w:ind w:left="720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2D93B635" w14:textId="0271040D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promote academic achievement by grouping EAL pupils according to cognitive level rather than English language level where possible.</w:t>
      </w:r>
    </w:p>
    <w:p w14:paraId="16C1CC79" w14:textId="77777777" w:rsidR="009267A1" w:rsidRPr="009C2FB2" w:rsidRDefault="009267A1" w:rsidP="009267A1">
      <w:pPr>
        <w:shd w:val="clear" w:color="auto" w:fill="FFFFFF"/>
        <w:spacing w:before="103" w:after="103" w:line="240" w:lineRule="auto"/>
        <w:ind w:left="720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23CE00CC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identify language outcomes for all curriculum areas and include in medium-term and weekly planning.</w:t>
      </w:r>
    </w:p>
    <w:p w14:paraId="3101467C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18F9DB9D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promote and encourage the development of the children’s first languages in order to</w:t>
      </w:r>
      <w:r w:rsidRPr="009C2FB2">
        <w:rPr>
          <w:rFonts w:ascii="Calibri" w:eastAsia="Times New Roman" w:hAnsi="Calibri" w:cs="Arial"/>
          <w:color w:val="333333"/>
          <w:sz w:val="28"/>
          <w:szCs w:val="28"/>
          <w:lang w:eastAsia="en-GB"/>
        </w:rPr>
        <w:t xml:space="preserve"> </w:t>
      </w: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facilitate concept development in tandem with their acquisition of English.</w:t>
      </w:r>
    </w:p>
    <w:p w14:paraId="446AE456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53C689F6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provide pupils with access to resources which are age appropriate, at an appropriate language level, and are linguistic</w:t>
      </w:r>
      <w:r w:rsidR="009267A1"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ally and culturally appropriate.</w:t>
      </w:r>
    </w:p>
    <w:p w14:paraId="02A79097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7162ABBF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use key visuals and other strategies to support children’s access to the curriculum.</w:t>
      </w:r>
    </w:p>
    <w:p w14:paraId="7163B5BF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19405ECB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actively liaise with parents to help them to support their children’s learning.</w:t>
      </w:r>
    </w:p>
    <w:p w14:paraId="558155B4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5DC1D0ED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facilitate parents’ access to school life by providing dual language information and bilingual support (where necessary) especially for parents’ evenings, school events and workshops, and to monitor parental involvement.</w:t>
      </w:r>
    </w:p>
    <w:p w14:paraId="6F78FB92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0F580A53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seek first language assessment to ensure the accurate identification of SEN.</w:t>
      </w:r>
    </w:p>
    <w:p w14:paraId="3F90D66A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327E6631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monitor the results of statutory tests by language and ethnic group and set targets to address any underachievement identified.</w:t>
      </w:r>
    </w:p>
    <w:p w14:paraId="36233CCB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00E00D2B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 xml:space="preserve">To provide all </w:t>
      </w:r>
      <w:r w:rsidR="00170282"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 xml:space="preserve">relevant </w:t>
      </w: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 xml:space="preserve">staff with </w:t>
      </w:r>
      <w:r w:rsidR="00170282"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appropriate</w:t>
      </w: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 xml:space="preserve"> professional development </w:t>
      </w:r>
      <w:r w:rsidR="00170282"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 xml:space="preserve">as required to </w:t>
      </w: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develop their knowledge and skills for teaching EAL learners.</w:t>
      </w:r>
    </w:p>
    <w:p w14:paraId="2E65E0CC" w14:textId="77777777" w:rsidR="008B0E20" w:rsidRPr="009C2FB2" w:rsidRDefault="008B0E20" w:rsidP="008B0E20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3351779C" w14:textId="17F514F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t>Language and literacy experiences of EAL students</w:t>
      </w:r>
    </w:p>
    <w:p w14:paraId="57666DE8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en-GB"/>
        </w:rPr>
        <w:t xml:space="preserve">• </w:t>
      </w: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Some students already have good language and literacy skills in two or more languages</w:t>
      </w:r>
    </w:p>
    <w:p w14:paraId="0F933164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Some students are beginner EAL learners have never learnt to read or write in any language.</w:t>
      </w:r>
    </w:p>
    <w:p w14:paraId="1CDA8BDE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lastRenderedPageBreak/>
        <w:t xml:space="preserve">• Some students have missed some or </w:t>
      </w:r>
      <w:proofErr w:type="gramStart"/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all of</w:t>
      </w:r>
      <w:proofErr w:type="gramEnd"/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 their primary education and have not fully developed the language and literacy skills needed for secondary school.</w:t>
      </w:r>
    </w:p>
    <w:p w14:paraId="07348284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Some students have statements of SEN with language or literacy needs</w:t>
      </w:r>
    </w:p>
    <w:p w14:paraId="047FC4A5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All these diverse groups benefit from teaching that develops their language and literacy.</w:t>
      </w:r>
    </w:p>
    <w:p w14:paraId="34A79461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Many students are already orally fluent in everyday English. However, they are not all fluent in the academic language of the secondary curriculum which is the key to exam success.</w:t>
      </w:r>
    </w:p>
    <w:p w14:paraId="1BF42E0C" w14:textId="3F220A62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As </w:t>
      </w:r>
      <w:r w:rsidR="009C2FB2"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students’</w:t>
      </w: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 progress through the secondary school, the language and literacy </w:t>
      </w:r>
      <w:r w:rsidR="009C2FB2"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demand</w:t>
      </w: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 of the curriculum increase and students need to develop a wider range of language skills, </w:t>
      </w:r>
      <w:proofErr w:type="gramStart"/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in particular making</w:t>
      </w:r>
      <w:proofErr w:type="gramEnd"/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 the transition from spoken to written forms. </w:t>
      </w:r>
    </w:p>
    <w:p w14:paraId="01974FEA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They also need to be able to adopt different styles (genres) to meet different purposes and audiences. Secondary school subjects have a wider variety of written genres and these need to be explicitly taught.</w:t>
      </w:r>
    </w:p>
    <w:p w14:paraId="24E17769" w14:textId="42F4531B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t>Beginner EAL learners</w:t>
      </w:r>
    </w:p>
    <w:p w14:paraId="78AEC1D9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It takes 1-2 years to become fluent in everyday spoken English, but 5-7 years to develop proficiency in formal, written English.</w:t>
      </w:r>
    </w:p>
    <w:p w14:paraId="634F8AD8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Students who are new to English will be integrated into mainst</w:t>
      </w:r>
      <w:r w:rsidR="008B0E20"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ream subjects most of the time. This enables them to:</w:t>
      </w:r>
    </w:p>
    <w:p w14:paraId="7D8E5D00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develop oral fluency quickly</w:t>
      </w:r>
    </w:p>
    <w:p w14:paraId="5992D5B7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immediately feel part of the school</w:t>
      </w:r>
    </w:p>
    <w:p w14:paraId="711DAC1D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develop language in context</w:t>
      </w:r>
    </w:p>
    <w:p w14:paraId="1A60BE30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experience their full curriculum entitlement</w:t>
      </w:r>
    </w:p>
    <w:p w14:paraId="0C6CEF6A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Additional support in class and some small group literacy teachi</w:t>
      </w:r>
      <w:r w:rsidR="008B0E20"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ng will be offered by EAL team. </w:t>
      </w: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Students will not be withdrawn from Maths, Modern Languages or practical subjects where they can usually make good progress whatever their language level.</w:t>
      </w:r>
    </w:p>
    <w:p w14:paraId="4A295CEB" w14:textId="32250A7A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t>Teaching strategies to support EAL beginners</w:t>
      </w:r>
    </w:p>
    <w:p w14:paraId="2FDE920B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Provide a classroom rich in oral experiences</w:t>
      </w:r>
    </w:p>
    <w:p w14:paraId="08956E57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• Enable pupils to draw on their existing knowledge of </w:t>
      </w:r>
      <w:proofErr w:type="gramStart"/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other</w:t>
      </w:r>
      <w:proofErr w:type="gramEnd"/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 language/s</w:t>
      </w:r>
    </w:p>
    <w:p w14:paraId="67B6B7E0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Encourage and use bilingual support from other students and staff</w:t>
      </w:r>
    </w:p>
    <w:p w14:paraId="67B8F606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Use translated materials and bilingual dictionaries</w:t>
      </w:r>
    </w:p>
    <w:p w14:paraId="3DC3225D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Allow students time to practice new language</w:t>
      </w:r>
    </w:p>
    <w:p w14:paraId="020A2FFE" w14:textId="77777777" w:rsidR="00B17DD7" w:rsidRPr="009C2FB2" w:rsidRDefault="00B17DD7" w:rsidP="00B17DD7">
      <w:pPr>
        <w:shd w:val="clear" w:color="auto" w:fill="FFFFFF"/>
        <w:rPr>
          <w:rFonts w:ascii="Calibri" w:eastAsia="Times New Roman" w:hAnsi="Calibri" w:cs="Arial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U</w:t>
      </w:r>
      <w:r w:rsidR="008B0E20"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se visual support of all kinds</w:t>
      </w: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 such as: diagrams, maps, charts, pictures, realia</w:t>
      </w:r>
      <w:r w:rsidRPr="009C2FB2">
        <w:rPr>
          <w:rFonts w:ascii="Calibri" w:eastAsia="Times New Roman" w:hAnsi="Calibri" w:cs="Arial"/>
          <w:sz w:val="24"/>
          <w:szCs w:val="24"/>
          <w:lang w:eastAsia="en-GB"/>
        </w:rPr>
        <w:t xml:space="preserve"> (</w:t>
      </w:r>
      <w:r w:rsidRPr="009C2FB2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objects and material from everyday life used as teaching aids)</w:t>
      </w:r>
    </w:p>
    <w:p w14:paraId="5BDFCD75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Develop card sorting, sequencing and matching activities</w:t>
      </w:r>
    </w:p>
    <w:p w14:paraId="33D9E576" w14:textId="77777777" w:rsidR="00B17DD7" w:rsidRDefault="00B17DD7" w:rsidP="00BB5F0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</w:p>
    <w:p w14:paraId="4944B62F" w14:textId="77777777" w:rsidR="00C474B0" w:rsidRDefault="00C474B0"/>
    <w:sectPr w:rsidR="00C474B0" w:rsidSect="009C2F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58DF"/>
    <w:multiLevelType w:val="multilevel"/>
    <w:tmpl w:val="42BE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B45D4"/>
    <w:multiLevelType w:val="multilevel"/>
    <w:tmpl w:val="1FF4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63BF8"/>
    <w:multiLevelType w:val="multilevel"/>
    <w:tmpl w:val="903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26CB8"/>
    <w:multiLevelType w:val="hybridMultilevel"/>
    <w:tmpl w:val="31BC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C2E87"/>
    <w:multiLevelType w:val="hybridMultilevel"/>
    <w:tmpl w:val="4C34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55CB6"/>
    <w:multiLevelType w:val="multilevel"/>
    <w:tmpl w:val="FF0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D181F"/>
    <w:multiLevelType w:val="multilevel"/>
    <w:tmpl w:val="3D8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09"/>
    <w:rsid w:val="00091DDB"/>
    <w:rsid w:val="00170282"/>
    <w:rsid w:val="001A6129"/>
    <w:rsid w:val="002B3D84"/>
    <w:rsid w:val="008B0E20"/>
    <w:rsid w:val="009267A1"/>
    <w:rsid w:val="009725B7"/>
    <w:rsid w:val="009C2FB2"/>
    <w:rsid w:val="00A50358"/>
    <w:rsid w:val="00B17DD7"/>
    <w:rsid w:val="00BB5F09"/>
    <w:rsid w:val="00C474B0"/>
    <w:rsid w:val="00C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8C20"/>
  <w15:docId w15:val="{C81E8216-8D38-4749-B100-3AE746A9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0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1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6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5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Allen</dc:creator>
  <cp:lastModifiedBy>Liz Johnson</cp:lastModifiedBy>
  <cp:revision>6</cp:revision>
  <cp:lastPrinted>2016-10-04T15:34:00Z</cp:lastPrinted>
  <dcterms:created xsi:type="dcterms:W3CDTF">2019-02-26T09:43:00Z</dcterms:created>
  <dcterms:modified xsi:type="dcterms:W3CDTF">2019-06-06T09:16:00Z</dcterms:modified>
</cp:coreProperties>
</file>