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8DFD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  <w:bookmarkStart w:id="0" w:name="_GoBack"/>
      <w:bookmarkEnd w:id="0"/>
    </w:p>
    <w:p w14:paraId="16DEEFA3" w14:textId="6C95A51E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5A0E1A5F" w14:textId="43EC5115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FDDF1E" wp14:editId="12AD6C0A">
            <wp:simplePos x="0" y="0"/>
            <wp:positionH relativeFrom="page">
              <wp:posOffset>2219325</wp:posOffset>
            </wp:positionH>
            <wp:positionV relativeFrom="paragraph">
              <wp:posOffset>67945</wp:posOffset>
            </wp:positionV>
            <wp:extent cx="2947143" cy="3000375"/>
            <wp:effectExtent l="0" t="0" r="5715" b="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43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FAE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6621CBA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3F9E56B4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659A8B80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4BEB5A61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08916AB3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01A5D05A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398BCB48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4EDBB3F4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7CD42916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13EDE1D9" w14:textId="77777777" w:rsidR="002B3D84" w:rsidRDefault="002B3D84" w:rsidP="00B17DD7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</w:pPr>
    </w:p>
    <w:p w14:paraId="18510304" w14:textId="77777777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</w:p>
    <w:p w14:paraId="6F0F84D5" w14:textId="5495F7D2" w:rsidR="00BB5F09" w:rsidRPr="00091DDB" w:rsidRDefault="00BB5F09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/>
          <w:bCs/>
          <w:sz w:val="72"/>
          <w:szCs w:val="72"/>
          <w:lang w:eastAsia="en-GB"/>
        </w:rPr>
      </w:pPr>
      <w:r w:rsidRPr="00091DDB">
        <w:rPr>
          <w:rFonts w:ascii="Calibri" w:eastAsia="Times New Roman" w:hAnsi="Calibri" w:cs="Arial"/>
          <w:b/>
          <w:bCs/>
          <w:sz w:val="72"/>
          <w:szCs w:val="72"/>
          <w:lang w:eastAsia="en-GB"/>
        </w:rPr>
        <w:t>FOR CHILDREN WITH ENGLISH AS AN ADDITIONAL LANGUAGE</w:t>
      </w:r>
    </w:p>
    <w:p w14:paraId="0F42F166" w14:textId="76ED6E1E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</w:p>
    <w:p w14:paraId="0DA6618C" w14:textId="77777777" w:rsidR="009C2FB2" w:rsidRPr="009C2FB2" w:rsidRDefault="009C2FB2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Cs/>
          <w:sz w:val="72"/>
          <w:szCs w:val="72"/>
          <w:lang w:eastAsia="en-GB"/>
        </w:rPr>
      </w:pPr>
    </w:p>
    <w:p w14:paraId="50FF45C9" w14:textId="4AA5057A" w:rsidR="009C2FB2" w:rsidRPr="00CF573A" w:rsidRDefault="00E207C9" w:rsidP="009267A1">
      <w:pPr>
        <w:shd w:val="clear" w:color="auto" w:fill="FFFFFF"/>
        <w:spacing w:after="120" w:line="336" w:lineRule="atLeast"/>
        <w:jc w:val="center"/>
        <w:outlineLvl w:val="1"/>
        <w:rPr>
          <w:rFonts w:ascii="Calibri" w:eastAsia="Times New Roman" w:hAnsi="Calibri" w:cs="Arial"/>
          <w:b/>
          <w:sz w:val="36"/>
          <w:szCs w:val="36"/>
          <w:lang w:eastAsia="en-GB"/>
        </w:rPr>
      </w:pPr>
      <w:r>
        <w:rPr>
          <w:rFonts w:ascii="Calibri" w:eastAsia="Times New Roman" w:hAnsi="Calibri" w:cs="Arial"/>
          <w:b/>
          <w:sz w:val="36"/>
          <w:szCs w:val="36"/>
          <w:lang w:eastAsia="en-GB"/>
        </w:rPr>
        <w:t>February 2021</w:t>
      </w:r>
    </w:p>
    <w:p w14:paraId="4167DCE2" w14:textId="77777777" w:rsidR="008B0E20" w:rsidRPr="009C2FB2" w:rsidRDefault="008B0E20" w:rsidP="008B0E20">
      <w:pPr>
        <w:shd w:val="clear" w:color="auto" w:fill="FFFFFF"/>
        <w:spacing w:after="240" w:line="240" w:lineRule="auto"/>
        <w:contextualSpacing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</w:p>
    <w:p w14:paraId="4891AD88" w14:textId="6216E3F7" w:rsidR="00B17DD7" w:rsidRPr="009C2FB2" w:rsidRDefault="009C2FB2" w:rsidP="009C2FB2">
      <w:pPr>
        <w:rPr>
          <w:rFonts w:ascii="Calibri" w:eastAsia="Times New Roman" w:hAnsi="Calibri" w:cs="Arial"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br w:type="page"/>
      </w:r>
      <w:r w:rsidR="00B17DD7"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lastRenderedPageBreak/>
        <w:t>Purposes</w:t>
      </w:r>
    </w:p>
    <w:p w14:paraId="7F3B2419" w14:textId="77777777" w:rsidR="00B17DD7" w:rsidRPr="009C2FB2" w:rsidRDefault="00B17DD7" w:rsidP="009267A1">
      <w:pPr>
        <w:pStyle w:val="ListParagraph"/>
        <w:numPr>
          <w:ilvl w:val="0"/>
          <w:numId w:val="7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equality of opportunity for all learners for whom English is an additional language.</w:t>
      </w:r>
    </w:p>
    <w:p w14:paraId="1AE4D144" w14:textId="77777777" w:rsidR="009267A1" w:rsidRPr="009C2FB2" w:rsidRDefault="009267A1" w:rsidP="009267A1">
      <w:pPr>
        <w:pStyle w:val="ListParagraph"/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73CCCAF" w14:textId="77777777" w:rsidR="00B17DD7" w:rsidRPr="009C2FB2" w:rsidRDefault="00B17DD7" w:rsidP="008B0E20">
      <w:pPr>
        <w:pStyle w:val="ListParagraph"/>
        <w:numPr>
          <w:ilvl w:val="0"/>
          <w:numId w:val="4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deliver a broad, balanced curriculum which reflects the needs of children for whom English is an additional language.</w:t>
      </w:r>
    </w:p>
    <w:p w14:paraId="52852B24" w14:textId="77777777" w:rsidR="008B0E20" w:rsidRPr="009C2FB2" w:rsidRDefault="008B0E20" w:rsidP="008B0E2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33333"/>
          <w:sz w:val="28"/>
          <w:szCs w:val="28"/>
          <w:u w:val="single"/>
          <w:lang w:eastAsia="en-GB"/>
        </w:rPr>
      </w:pPr>
    </w:p>
    <w:p w14:paraId="58D07555" w14:textId="77777777" w:rsidR="008B0E20" w:rsidRPr="009C2FB2" w:rsidRDefault="008B0E20" w:rsidP="008B0E20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Guidelines</w:t>
      </w:r>
    </w:p>
    <w:p w14:paraId="44B51D7F" w14:textId="77777777" w:rsidR="009C2FB2" w:rsidRDefault="009C2FB2" w:rsidP="009C2FB2">
      <w:pPr>
        <w:shd w:val="clear" w:color="auto" w:fill="FFFFFF"/>
        <w:spacing w:before="103" w:after="103" w:line="240" w:lineRule="auto"/>
        <w:ind w:left="720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2D93B635" w14:textId="0271040D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academic achievement by grouping EAL pupils according to cognitive level rather than English language level where possible.</w:t>
      </w:r>
    </w:p>
    <w:p w14:paraId="16C1CC79" w14:textId="77777777" w:rsidR="009267A1" w:rsidRPr="009C2FB2" w:rsidRDefault="009267A1" w:rsidP="009267A1">
      <w:pPr>
        <w:shd w:val="clear" w:color="auto" w:fill="FFFFFF"/>
        <w:spacing w:before="103" w:after="103" w:line="240" w:lineRule="auto"/>
        <w:ind w:left="720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23CE00CC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identify language outcomes for all curriculum areas and include in medium-term and weekly planning.</w:t>
      </w:r>
    </w:p>
    <w:p w14:paraId="3101467C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18F9DB9D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promote and encourage the development of the children’s first languages in order to</w:t>
      </w:r>
      <w:r w:rsidRPr="009C2FB2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 xml:space="preserve">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facilitate concept development in tandem with their acquisition of English.</w:t>
      </w:r>
    </w:p>
    <w:p w14:paraId="446AE456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3C689F6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provide pupils with access to resources which are age appropriate, at an appropriate language level, and are linguistic</w:t>
      </w:r>
      <w:r w:rsidR="009267A1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ally and culturally appropriate.</w:t>
      </w:r>
    </w:p>
    <w:p w14:paraId="02A79097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7162ABBF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use key visuals and other strategies to support children’s access to the curriculum.</w:t>
      </w:r>
    </w:p>
    <w:p w14:paraId="7163B5BF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19405ECB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actively liaise with parents to help them to support their children’s learning.</w:t>
      </w:r>
    </w:p>
    <w:p w14:paraId="558155B4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5DC1D0ED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facilitate parents’ access to school life by providing dual language information and bilingual support (where necessary) especially for parents’ evenings, school events and workshops, and to monitor parental involvement.</w:t>
      </w:r>
    </w:p>
    <w:p w14:paraId="6F78FB92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0F580A53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seek first language assessment to ensure the accurate identification of SEN.</w:t>
      </w:r>
    </w:p>
    <w:p w14:paraId="3F90D66A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327E6631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To monitor the results of statutory tests by language and ethnic group and set targets to address any underachievement identified.</w:t>
      </w:r>
    </w:p>
    <w:p w14:paraId="36233CCB" w14:textId="77777777" w:rsidR="009267A1" w:rsidRPr="009C2FB2" w:rsidRDefault="009267A1" w:rsidP="009267A1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00E00D2B" w14:textId="77777777" w:rsidR="008B0E20" w:rsidRPr="009C2FB2" w:rsidRDefault="008B0E20" w:rsidP="008B0E20">
      <w:pPr>
        <w:numPr>
          <w:ilvl w:val="0"/>
          <w:numId w:val="6"/>
        </w:num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To provide all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relevant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staff with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appropriate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 professional development </w:t>
      </w:r>
      <w:r w:rsidR="00170282"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 xml:space="preserve">as required to </w:t>
      </w:r>
      <w:r w:rsidRPr="009C2FB2">
        <w:rPr>
          <w:rFonts w:ascii="Calibri" w:eastAsia="Times New Roman" w:hAnsi="Calibri" w:cs="Arial"/>
          <w:color w:val="333333"/>
          <w:sz w:val="24"/>
          <w:szCs w:val="24"/>
          <w:lang w:eastAsia="en-GB"/>
        </w:rPr>
        <w:t>develop their knowledge and skills for teaching EAL learners.</w:t>
      </w:r>
    </w:p>
    <w:p w14:paraId="2E65E0CC" w14:textId="77777777" w:rsidR="008B0E20" w:rsidRPr="009C2FB2" w:rsidRDefault="008B0E20" w:rsidP="008B0E20">
      <w:pPr>
        <w:shd w:val="clear" w:color="auto" w:fill="FFFFFF"/>
        <w:spacing w:before="103" w:after="103" w:line="240" w:lineRule="auto"/>
        <w:rPr>
          <w:rFonts w:ascii="Calibri" w:eastAsia="Times New Roman" w:hAnsi="Calibri" w:cs="Arial"/>
          <w:color w:val="333333"/>
          <w:sz w:val="24"/>
          <w:szCs w:val="24"/>
          <w:lang w:eastAsia="en-GB"/>
        </w:rPr>
      </w:pPr>
    </w:p>
    <w:p w14:paraId="3351779C" w14:textId="17F514F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Language and literacy experiences of EAL students</w:t>
      </w:r>
    </w:p>
    <w:p w14:paraId="57666DE8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en-GB"/>
        </w:rPr>
        <w:t xml:space="preserve">• 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Some students already have good language and literacy skills in two or more languages</w:t>
      </w:r>
    </w:p>
    <w:p w14:paraId="0F933164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Some students are beginner EAL learners have never learnt to read or write in any language.</w:t>
      </w:r>
    </w:p>
    <w:p w14:paraId="1CDA8BDE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lastRenderedPageBreak/>
        <w:t>• Some students have missed some or all of their primary education and have not fully developed the language and literacy skills needed for secondary school.</w:t>
      </w:r>
    </w:p>
    <w:p w14:paraId="07348284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Some students have statements of SEN with language or literacy needs</w:t>
      </w:r>
    </w:p>
    <w:p w14:paraId="047FC4A5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All these diverse groups benefit from teaching that develops their language and literacy.</w:t>
      </w:r>
    </w:p>
    <w:p w14:paraId="34A79461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Many students are already orally fluent in everyday English. However, they are not all fluent in the academic language of the secondary curriculum which is the key to exam success.</w:t>
      </w:r>
    </w:p>
    <w:p w14:paraId="1BF42E0C" w14:textId="3F220A62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As </w:t>
      </w:r>
      <w:r w:rsidR="009C2FB2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students’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progress through the secondary school, the language and literacy </w:t>
      </w:r>
      <w:r w:rsidR="009C2FB2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demand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of the curriculum increase and students need to develop a wider range of language skills, in particular making the transition from spoken to written forms. </w:t>
      </w:r>
    </w:p>
    <w:p w14:paraId="01974FEA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They also need to be able to adopt different styles (genres) to meet different purposes and audiences. Secondary school subjects have a wider variety of written genres and these need to be explicitly taught.</w:t>
      </w:r>
    </w:p>
    <w:p w14:paraId="24E17769" w14:textId="42F4531B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Beginner EAL learners</w:t>
      </w:r>
    </w:p>
    <w:p w14:paraId="78AEC1D9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It takes 1-2 years to become fluent in everyday spoken English, but 5-7 years to develop proficiency in formal, written English.</w:t>
      </w:r>
    </w:p>
    <w:p w14:paraId="634F8AD8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 who are new to English will be integrated into mainst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ream subjects most of the time. This enables them to:</w:t>
      </w:r>
    </w:p>
    <w:p w14:paraId="7D8E5D0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oral fluency quickly</w:t>
      </w:r>
    </w:p>
    <w:p w14:paraId="5992D5B7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immediately feel part of the school</w:t>
      </w:r>
    </w:p>
    <w:p w14:paraId="711DAC1D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language in context</w:t>
      </w:r>
    </w:p>
    <w:p w14:paraId="1A60BE3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experience their full curriculum entitlement</w:t>
      </w:r>
    </w:p>
    <w:p w14:paraId="0C6CEF6A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Additional support in class and some small group literacy teachi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ng will be offered by EAL team. 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Students will not be withdrawn from Maths, Modern Languages or practical subjects where they can usually make good progress whatever their language level.</w:t>
      </w:r>
    </w:p>
    <w:p w14:paraId="4A295CEB" w14:textId="32250A7A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</w:pPr>
      <w:r w:rsidRPr="009C2FB2">
        <w:rPr>
          <w:rFonts w:ascii="Calibri" w:eastAsia="Times New Roman" w:hAnsi="Calibri" w:cs="Arial"/>
          <w:b/>
          <w:bCs/>
          <w:color w:val="333333"/>
          <w:sz w:val="32"/>
          <w:szCs w:val="32"/>
          <w:u w:val="single"/>
          <w:lang w:eastAsia="en-GB"/>
        </w:rPr>
        <w:t>Teaching strategies to support EAL beginners</w:t>
      </w:r>
    </w:p>
    <w:p w14:paraId="2FDE920B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Provide a classroom rich in oral experiences</w:t>
      </w:r>
    </w:p>
    <w:p w14:paraId="08956E57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Enable pupils to draw on their existing knowledge of other language/s</w:t>
      </w:r>
    </w:p>
    <w:p w14:paraId="67B6B7E0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Encourage and use bilingual support from other students and staff</w:t>
      </w:r>
    </w:p>
    <w:p w14:paraId="67B8F606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Use translated materials and bilingual dictionaries</w:t>
      </w:r>
    </w:p>
    <w:p w14:paraId="3DC3225D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Allow students time to practice new language</w:t>
      </w:r>
    </w:p>
    <w:p w14:paraId="020A2FFE" w14:textId="77777777" w:rsidR="00B17DD7" w:rsidRPr="009C2FB2" w:rsidRDefault="00B17DD7" w:rsidP="00B17DD7">
      <w:pPr>
        <w:shd w:val="clear" w:color="auto" w:fill="FFFFFF"/>
        <w:rPr>
          <w:rFonts w:ascii="Calibri" w:eastAsia="Times New Roman" w:hAnsi="Calibri" w:cs="Arial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U</w:t>
      </w:r>
      <w:r w:rsidR="008B0E20"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se visual support of all kinds</w:t>
      </w: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 xml:space="preserve"> such as: diagrams, maps, charts, pictures, realia</w:t>
      </w:r>
      <w:r w:rsidRPr="009C2FB2">
        <w:rPr>
          <w:rFonts w:ascii="Calibri" w:eastAsia="Times New Roman" w:hAnsi="Calibri" w:cs="Arial"/>
          <w:sz w:val="24"/>
          <w:szCs w:val="24"/>
          <w:lang w:eastAsia="en-GB"/>
        </w:rPr>
        <w:t xml:space="preserve"> (</w:t>
      </w:r>
      <w:r w:rsidRPr="009C2FB2">
        <w:rPr>
          <w:rFonts w:ascii="Calibri" w:eastAsia="Times New Roman" w:hAnsi="Calibri" w:cs="Arial"/>
          <w:color w:val="222222"/>
          <w:sz w:val="24"/>
          <w:szCs w:val="24"/>
          <w:lang w:eastAsia="en-GB"/>
        </w:rPr>
        <w:t>objects and material from everyday life used as teaching aids)</w:t>
      </w:r>
    </w:p>
    <w:p w14:paraId="5BDFCD75" w14:textId="77777777" w:rsidR="00B17DD7" w:rsidRPr="009C2FB2" w:rsidRDefault="00B17DD7" w:rsidP="00B17DD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</w:pPr>
      <w:r w:rsidRPr="009C2FB2">
        <w:rPr>
          <w:rFonts w:ascii="Calibri" w:eastAsia="Times New Roman" w:hAnsi="Calibri" w:cs="Arial"/>
          <w:bCs/>
          <w:color w:val="333333"/>
          <w:sz w:val="24"/>
          <w:szCs w:val="24"/>
          <w:lang w:eastAsia="en-GB"/>
        </w:rPr>
        <w:t>• Develop card sorting, sequencing and matching activities</w:t>
      </w:r>
    </w:p>
    <w:p w14:paraId="33D9E576" w14:textId="77777777" w:rsidR="00B17DD7" w:rsidRDefault="00B17DD7" w:rsidP="00BB5F0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14:paraId="4944B62F" w14:textId="77777777" w:rsidR="00C474B0" w:rsidRDefault="00C474B0"/>
    <w:sectPr w:rsidR="00C474B0" w:rsidSect="009C2F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8DF"/>
    <w:multiLevelType w:val="multilevel"/>
    <w:tmpl w:val="42BE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B45D4"/>
    <w:multiLevelType w:val="multilevel"/>
    <w:tmpl w:val="1FF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63BF8"/>
    <w:multiLevelType w:val="multilevel"/>
    <w:tmpl w:val="903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26CB8"/>
    <w:multiLevelType w:val="hybridMultilevel"/>
    <w:tmpl w:val="31BC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E87"/>
    <w:multiLevelType w:val="hybridMultilevel"/>
    <w:tmpl w:val="4C34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5CB6"/>
    <w:multiLevelType w:val="multilevel"/>
    <w:tmpl w:val="FF0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D181F"/>
    <w:multiLevelType w:val="multilevel"/>
    <w:tmpl w:val="3D8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09"/>
    <w:rsid w:val="00091DDB"/>
    <w:rsid w:val="00170282"/>
    <w:rsid w:val="001A6129"/>
    <w:rsid w:val="002B3D84"/>
    <w:rsid w:val="008B0E20"/>
    <w:rsid w:val="009267A1"/>
    <w:rsid w:val="009725B7"/>
    <w:rsid w:val="009C2FB2"/>
    <w:rsid w:val="00A50358"/>
    <w:rsid w:val="00B17DD7"/>
    <w:rsid w:val="00BB5F09"/>
    <w:rsid w:val="00C474B0"/>
    <w:rsid w:val="00CC341D"/>
    <w:rsid w:val="00CF573A"/>
    <w:rsid w:val="00E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8C20"/>
  <w15:docId w15:val="{C81E8216-8D38-4749-B100-3AE746A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0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1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26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5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BBAB6-0119-44FA-BA06-CF3E79BA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3FAC3-8C1A-4634-934C-0F1CC69AA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C3D42-BC26-4AB0-9D31-3C7A7FA7643C}">
  <ds:schemaRefs>
    <ds:schemaRef ds:uri="6ac039d4-fd6c-4c84-8abc-73f21ed16f9e"/>
    <ds:schemaRef ds:uri="http://schemas.microsoft.com/office/infopath/2007/PartnerControls"/>
    <ds:schemaRef ds:uri="d862e6e4-03a7-4663-a2fd-c2896b9331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Allen</dc:creator>
  <cp:lastModifiedBy>Johnson</cp:lastModifiedBy>
  <cp:revision>2</cp:revision>
  <cp:lastPrinted>2016-10-04T15:34:00Z</cp:lastPrinted>
  <dcterms:created xsi:type="dcterms:W3CDTF">2021-03-11T15:22:00Z</dcterms:created>
  <dcterms:modified xsi:type="dcterms:W3CDTF">2021-03-11T15:22:00Z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